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B" w:rsidRDefault="006634D0" w:rsidP="006634D0">
      <w:pPr>
        <w:spacing w:line="240" w:lineRule="auto"/>
      </w:pPr>
      <w:r>
        <w:t xml:space="preserve">Dear </w:t>
      </w:r>
      <w:r w:rsidR="00B845C1">
        <w:t>Parent/Carer</w:t>
      </w:r>
      <w:r>
        <w:t xml:space="preserve">, </w:t>
      </w:r>
    </w:p>
    <w:p w:rsidR="00B71992" w:rsidRDefault="00F01608" w:rsidP="006634D0">
      <w:pPr>
        <w:spacing w:line="240" w:lineRule="auto"/>
      </w:pPr>
      <w:r>
        <w:t>The purpose of this letter is</w:t>
      </w:r>
      <w:r w:rsidR="00B71992">
        <w:t xml:space="preserve"> </w:t>
      </w:r>
      <w:r w:rsidR="00F203D0">
        <w:t>to</w:t>
      </w:r>
      <w:r w:rsidR="00B845C1">
        <w:t xml:space="preserve"> provide you with</w:t>
      </w:r>
      <w:r w:rsidR="00F203D0">
        <w:t xml:space="preserve"> information relating to </w:t>
      </w:r>
      <w:r w:rsidR="00B845C1">
        <w:t xml:space="preserve">various opportunities </w:t>
      </w:r>
      <w:r w:rsidR="00F203D0">
        <w:t>in the</w:t>
      </w:r>
      <w:r w:rsidR="00B845C1">
        <w:t xml:space="preserve"> new term to help your youngster make the transition from school at the end of S6</w:t>
      </w:r>
      <w:r w:rsidR="00F203D0">
        <w:t xml:space="preserve">.  </w:t>
      </w:r>
    </w:p>
    <w:p w:rsidR="00B845C1" w:rsidRDefault="00B845C1" w:rsidP="00F203D0">
      <w:pPr>
        <w:spacing w:line="240" w:lineRule="auto"/>
      </w:pPr>
      <w:r>
        <w:t>For pupils considering applying to university there are two events that take place in August.</w:t>
      </w:r>
    </w:p>
    <w:p w:rsidR="00870481" w:rsidRDefault="00B845C1" w:rsidP="00F203D0">
      <w:pPr>
        <w:spacing w:line="240" w:lineRule="auto"/>
      </w:pPr>
      <w:r>
        <w:t>We will be hosting a</w:t>
      </w:r>
      <w:r w:rsidR="00F203D0">
        <w:t xml:space="preserve"> j</w:t>
      </w:r>
      <w:r w:rsidR="00870481">
        <w:t xml:space="preserve">oint </w:t>
      </w:r>
      <w:r>
        <w:t xml:space="preserve">Higher Education event on </w:t>
      </w:r>
      <w:r w:rsidR="003A44A4">
        <w:t>Tuesday, 25</w:t>
      </w:r>
      <w:r w:rsidR="003A44A4" w:rsidRPr="003A44A4">
        <w:rPr>
          <w:vertAlign w:val="superscript"/>
        </w:rPr>
        <w:t>th</w:t>
      </w:r>
      <w:r w:rsidR="003A44A4">
        <w:t xml:space="preserve"> August from </w:t>
      </w:r>
      <w:r>
        <w:t>6.30-8.30</w:t>
      </w:r>
      <w:r w:rsidR="003A44A4">
        <w:t xml:space="preserve">pm </w:t>
      </w:r>
      <w:r>
        <w:t xml:space="preserve">at Dalkeith Schools Campus </w:t>
      </w:r>
      <w:r w:rsidR="00870481">
        <w:t xml:space="preserve">with St </w:t>
      </w:r>
      <w:r w:rsidR="00F203D0">
        <w:t>David’s</w:t>
      </w:r>
      <w:r w:rsidR="00870481">
        <w:t xml:space="preserve"> High School</w:t>
      </w:r>
      <w:r w:rsidR="00F203D0">
        <w:t xml:space="preserve">.  </w:t>
      </w:r>
      <w:r>
        <w:t xml:space="preserve">There will be a guest </w:t>
      </w:r>
      <w:r w:rsidR="00A57512">
        <w:t>speaker from</w:t>
      </w:r>
      <w:r w:rsidR="00F203D0">
        <w:t xml:space="preserve"> </w:t>
      </w:r>
      <w:r>
        <w:t>the Student Awards</w:t>
      </w:r>
      <w:r w:rsidR="00870481">
        <w:t xml:space="preserve"> Agency Scotland</w:t>
      </w:r>
      <w:r>
        <w:t xml:space="preserve"> (SAAS) </w:t>
      </w:r>
      <w:r w:rsidR="00F203D0">
        <w:t xml:space="preserve">and we hope to have further speakers from </w:t>
      </w:r>
      <w:r w:rsidR="00870481">
        <w:t>LEAPS</w:t>
      </w:r>
      <w:r>
        <w:t>, Napier</w:t>
      </w:r>
      <w:r w:rsidR="00F203D0">
        <w:t xml:space="preserve"> U</w:t>
      </w:r>
      <w:r w:rsidR="00870481">
        <w:t xml:space="preserve">niversity and Queen Margaret </w:t>
      </w:r>
      <w:r w:rsidR="00F203D0">
        <w:t xml:space="preserve">University.  </w:t>
      </w:r>
      <w:r>
        <w:t>This event is open to parents/carers and pupils with r</w:t>
      </w:r>
      <w:r w:rsidR="00F203D0">
        <w:t xml:space="preserve">efreshments </w:t>
      </w:r>
      <w:r>
        <w:t>being</w:t>
      </w:r>
      <w:r w:rsidR="00F203D0">
        <w:t xml:space="preserve"> available.  </w:t>
      </w:r>
    </w:p>
    <w:p w:rsidR="00870481" w:rsidRDefault="00B845C1" w:rsidP="006634D0">
      <w:pPr>
        <w:spacing w:line="240" w:lineRule="auto"/>
      </w:pPr>
      <w:r>
        <w:t xml:space="preserve">The </w:t>
      </w:r>
      <w:r w:rsidR="003A44A4">
        <w:t>annual UCAS</w:t>
      </w:r>
      <w:r w:rsidR="006634D0">
        <w:t xml:space="preserve"> Higher Education Careers C</w:t>
      </w:r>
      <w:r w:rsidR="00F203D0">
        <w:t>onference</w:t>
      </w:r>
      <w:r>
        <w:t xml:space="preserve"> takes place </w:t>
      </w:r>
      <w:r w:rsidR="003A44A4">
        <w:t>at the</w:t>
      </w:r>
      <w:r w:rsidR="00F203D0">
        <w:t xml:space="preserve"> </w:t>
      </w:r>
      <w:r w:rsidR="006634D0">
        <w:t>Corn Exchange</w:t>
      </w:r>
      <w:r w:rsidR="00F203D0">
        <w:t xml:space="preserve"> on the morning of </w:t>
      </w:r>
      <w:r w:rsidR="003A44A4">
        <w:t>Monday,</w:t>
      </w:r>
      <w:r w:rsidR="00F203D0">
        <w:t xml:space="preserve"> 31</w:t>
      </w:r>
      <w:r w:rsidR="00F203D0" w:rsidRPr="00F203D0">
        <w:rPr>
          <w:vertAlign w:val="superscript"/>
        </w:rPr>
        <w:t>st</w:t>
      </w:r>
      <w:r w:rsidR="00F203D0">
        <w:t xml:space="preserve"> August.  </w:t>
      </w:r>
      <w:r w:rsidR="003A44A4">
        <w:t xml:space="preserve">A coach has been booked to take pupils to and from this event.  </w:t>
      </w:r>
      <w:r w:rsidR="00F203D0">
        <w:t>Pupils must ensure that a parental consent form is completed and returned.  Places will be allocated on a first come first served basis.  Once a pupil has been allocated a place for this trip they must then complete an online booking registration form.</w:t>
      </w:r>
      <w:r w:rsidR="00D221FD">
        <w:t xml:space="preserve">  Further information will be issued to pupils regarding this.</w:t>
      </w:r>
    </w:p>
    <w:p w:rsidR="00A57512" w:rsidRDefault="00F01608" w:rsidP="006634D0">
      <w:pPr>
        <w:spacing w:line="240" w:lineRule="auto"/>
      </w:pPr>
      <w:r>
        <w:t>The table below outlines key</w:t>
      </w:r>
      <w:r w:rsidR="00A57512">
        <w:t xml:space="preserve"> UCAS dates for </w:t>
      </w:r>
      <w:r w:rsidR="00D221FD">
        <w:t>pupils</w:t>
      </w:r>
      <w:r w:rsidR="00A57512">
        <w:t xml:space="preserve"> applying to university this session.</w:t>
      </w:r>
    </w:p>
    <w:tbl>
      <w:tblPr>
        <w:tblW w:w="8508" w:type="dxa"/>
        <w:tblCellMar>
          <w:left w:w="0" w:type="dxa"/>
          <w:right w:w="0" w:type="dxa"/>
        </w:tblCellMar>
        <w:tblLook w:val="04A0"/>
      </w:tblPr>
      <w:tblGrid>
        <w:gridCol w:w="1987"/>
        <w:gridCol w:w="6521"/>
      </w:tblGrid>
      <w:tr w:rsidR="00870481" w:rsidRPr="00AA7CC9" w:rsidTr="008304D4">
        <w:trPr>
          <w:trHeight w:val="584"/>
        </w:trPr>
        <w:tc>
          <w:tcPr>
            <w:tcW w:w="1987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E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870481" w:rsidP="008304D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C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August-December </w:t>
            </w:r>
          </w:p>
        </w:tc>
        <w:tc>
          <w:tcPr>
            <w:tcW w:w="6521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E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870481" w:rsidP="008304D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Applicants can register and start to complete their application</w:t>
            </w:r>
          </w:p>
        </w:tc>
      </w:tr>
      <w:tr w:rsidR="00870481" w:rsidRPr="00AA7CC9" w:rsidTr="008304D4">
        <w:trPr>
          <w:trHeight w:val="584"/>
        </w:trPr>
        <w:tc>
          <w:tcPr>
            <w:tcW w:w="1987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D4CC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F01608" w:rsidP="00F01608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Wednesday, 30</w:t>
            </w:r>
            <w:r w:rsidRPr="00F0160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en-GB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position w:val="10"/>
                <w:sz w:val="24"/>
                <w:szCs w:val="24"/>
                <w:vertAlign w:val="superscript"/>
                <w:lang w:val="en-US" w:eastAsia="en-GB"/>
              </w:rPr>
              <w:t xml:space="preserve"> </w:t>
            </w:r>
            <w:r w:rsidR="00870481" w:rsidRPr="00AA7C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September</w:t>
            </w:r>
          </w:p>
        </w:tc>
        <w:tc>
          <w:tcPr>
            <w:tcW w:w="6521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D4CC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1608" w:rsidRDefault="00F01608" w:rsidP="00B71992">
            <w:pPr>
              <w:spacing w:before="240" w:after="24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Medicine, Dentistry, Veterinary S</w:t>
            </w:r>
            <w:r w:rsidR="00870481"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ci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ence/M</w:t>
            </w:r>
            <w:r w:rsidR="00870481"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ed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icine</w:t>
            </w:r>
            <w:r w:rsidR="00870481"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  <w:r w:rsidR="00D221F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applications </w:t>
            </w: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 xml:space="preserve">should be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>submitted to Guidance staff</w:t>
            </w:r>
          </w:p>
          <w:p w:rsidR="00AA7CC9" w:rsidRPr="00AA7CC9" w:rsidRDefault="00870481" w:rsidP="00B71992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 xml:space="preserve">Oxford </w:t>
            </w: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u w:val="single"/>
                <w:lang w:val="en-US" w:eastAsia="en-GB"/>
              </w:rPr>
              <w:t>or</w:t>
            </w: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 xml:space="preserve"> Cambridge application should be </w:t>
            </w:r>
            <w:r w:rsidR="00F0160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>submitted to G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>uidance</w:t>
            </w:r>
            <w:r w:rsidR="00F0160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 xml:space="preserve"> staff</w:t>
            </w:r>
          </w:p>
        </w:tc>
      </w:tr>
      <w:tr w:rsidR="00870481" w:rsidRPr="00AA7CC9" w:rsidTr="008304D4">
        <w:trPr>
          <w:trHeight w:val="584"/>
        </w:trPr>
        <w:tc>
          <w:tcPr>
            <w:tcW w:w="1987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E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F01608" w:rsidP="00F01608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Friday, 4</w:t>
            </w:r>
            <w:r w:rsidRPr="00F0160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en-GB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December</w:t>
            </w:r>
            <w:r w:rsidR="00870481" w:rsidRPr="00AA7C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E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F01608" w:rsidP="00F01608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Deadline by which applications for most courses</w:t>
            </w: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should be submitted to Guidance staff </w:t>
            </w:r>
          </w:p>
        </w:tc>
      </w:tr>
      <w:tr w:rsidR="00870481" w:rsidRPr="00AA7CC9" w:rsidTr="008304D4">
        <w:trPr>
          <w:trHeight w:val="584"/>
        </w:trPr>
        <w:tc>
          <w:tcPr>
            <w:tcW w:w="1987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D4CC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F01608" w:rsidRDefault="00F01608" w:rsidP="008304D4">
            <w:pPr>
              <w:spacing w:before="240" w:after="240" w:line="240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Thursday, 24</w:t>
            </w:r>
            <w:r w:rsidRPr="00F0160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March</w:t>
            </w:r>
            <w:r w:rsidR="00870481" w:rsidRPr="00AA7C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D4CC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F01608" w:rsidP="00F01608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Deadline for application for many Art &amp; D</w:t>
            </w:r>
            <w:r w:rsidR="00870481"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esign courses (check each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individual </w:t>
            </w:r>
            <w:r w:rsidR="00870481"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course for d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etails</w:t>
            </w:r>
            <w:r w:rsidR="00870481"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)</w:t>
            </w:r>
          </w:p>
        </w:tc>
      </w:tr>
      <w:tr w:rsidR="00870481" w:rsidRPr="00AA7CC9" w:rsidTr="008304D4">
        <w:trPr>
          <w:trHeight w:val="584"/>
        </w:trPr>
        <w:tc>
          <w:tcPr>
            <w:tcW w:w="1987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E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F01608" w:rsidP="008304D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>Thursday, 30</w:t>
            </w:r>
            <w:r w:rsidRPr="00F0160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en-GB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val="en-US" w:eastAsia="en-GB"/>
              </w:rPr>
              <w:t xml:space="preserve"> June </w:t>
            </w:r>
            <w:r w:rsidR="00870481" w:rsidRPr="00AA7CC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69187F"/>
              <w:left w:val="single" w:sz="8" w:space="0" w:color="69187F"/>
              <w:bottom w:val="single" w:sz="8" w:space="0" w:color="69187F"/>
              <w:right w:val="single" w:sz="8" w:space="0" w:color="69187F"/>
            </w:tcBorders>
            <w:shd w:val="clear" w:color="auto" w:fill="EBE7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7CC9" w:rsidRPr="00AA7CC9" w:rsidRDefault="00870481" w:rsidP="008304D4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 xml:space="preserve">Applications after this date held for </w:t>
            </w:r>
            <w:r w:rsidR="00F0160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>‘</w:t>
            </w:r>
            <w:r w:rsidRPr="00AA7CC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>Clearing</w:t>
            </w:r>
            <w:r w:rsidR="00F0160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val="en-US" w:eastAsia="en-GB"/>
              </w:rPr>
              <w:t>’</w:t>
            </w:r>
          </w:p>
        </w:tc>
      </w:tr>
    </w:tbl>
    <w:p w:rsidR="00870481" w:rsidRDefault="00870481" w:rsidP="00870481"/>
    <w:p w:rsidR="00D221FD" w:rsidRDefault="00D221FD" w:rsidP="00D221FD">
      <w:pPr>
        <w:spacing w:line="240" w:lineRule="auto"/>
      </w:pPr>
      <w:r>
        <w:t>There will be an opportunity for students who are not considering university, or are still undecided about their future pathways, to attend a Skills Scotland event at The Royal Highland Centre, Edinburgh on Thursday, 29</w:t>
      </w:r>
      <w:r w:rsidRPr="00F203D0">
        <w:rPr>
          <w:vertAlign w:val="superscript"/>
        </w:rPr>
        <w:t>th</w:t>
      </w:r>
      <w:r>
        <w:t xml:space="preserve"> October.  Pupils will be able to investigate college and </w:t>
      </w:r>
      <w:r>
        <w:lastRenderedPageBreak/>
        <w:t>apprenticeship/employment prospects.  Consent forms will be issued closer to the time of this event and transport will be provided by the school.</w:t>
      </w:r>
    </w:p>
    <w:p w:rsidR="00A57512" w:rsidRDefault="00A57512" w:rsidP="006634D0">
      <w:pPr>
        <w:spacing w:line="240" w:lineRule="auto"/>
      </w:pPr>
      <w:r>
        <w:t xml:space="preserve">Yours </w:t>
      </w:r>
      <w:r w:rsidR="00D221FD">
        <w:t>faithfully,</w:t>
      </w:r>
    </w:p>
    <w:p w:rsidR="00D221FD" w:rsidRDefault="00D221FD" w:rsidP="006634D0">
      <w:pPr>
        <w:spacing w:line="240" w:lineRule="auto"/>
      </w:pPr>
    </w:p>
    <w:p w:rsidR="00D221FD" w:rsidRDefault="00D221FD" w:rsidP="006634D0">
      <w:pPr>
        <w:spacing w:line="240" w:lineRule="auto"/>
      </w:pPr>
    </w:p>
    <w:p w:rsidR="00D221FD" w:rsidRDefault="00D221FD" w:rsidP="006634D0">
      <w:pPr>
        <w:spacing w:line="240" w:lineRule="auto"/>
      </w:pPr>
    </w:p>
    <w:p w:rsidR="00D221FD" w:rsidRDefault="00D221FD" w:rsidP="006634D0">
      <w:pPr>
        <w:spacing w:line="240" w:lineRule="auto"/>
      </w:pPr>
      <w:proofErr w:type="spellStart"/>
      <w:r>
        <w:t>Eilidh</w:t>
      </w:r>
      <w:proofErr w:type="spellEnd"/>
      <w:r>
        <w:t xml:space="preserve"> Frame</w:t>
      </w:r>
    </w:p>
    <w:p w:rsidR="00D221FD" w:rsidRDefault="00D221FD" w:rsidP="006634D0">
      <w:pPr>
        <w:spacing w:line="240" w:lineRule="auto"/>
      </w:pPr>
      <w:r>
        <w:t>Principal Teacher of Guidance</w:t>
      </w:r>
    </w:p>
    <w:p w:rsidR="00870481" w:rsidRDefault="00870481" w:rsidP="006634D0">
      <w:pPr>
        <w:spacing w:line="240" w:lineRule="auto"/>
      </w:pPr>
    </w:p>
    <w:p w:rsidR="00870481" w:rsidRDefault="00870481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p w:rsidR="006634D0" w:rsidRDefault="006634D0" w:rsidP="006634D0">
      <w:pPr>
        <w:spacing w:line="240" w:lineRule="auto"/>
      </w:pPr>
    </w:p>
    <w:sectPr w:rsidR="006634D0" w:rsidSect="0066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4CF"/>
    <w:multiLevelType w:val="hybridMultilevel"/>
    <w:tmpl w:val="BD1ED4BE"/>
    <w:lvl w:ilvl="0" w:tplc="CC76770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77ED8"/>
    <w:multiLevelType w:val="hybridMultilevel"/>
    <w:tmpl w:val="172C7292"/>
    <w:lvl w:ilvl="0" w:tplc="6CBE2CA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4D0"/>
    <w:rsid w:val="000A1ED2"/>
    <w:rsid w:val="003A44A4"/>
    <w:rsid w:val="005860A5"/>
    <w:rsid w:val="006634D0"/>
    <w:rsid w:val="00870481"/>
    <w:rsid w:val="009378CB"/>
    <w:rsid w:val="009E3E75"/>
    <w:rsid w:val="00A57512"/>
    <w:rsid w:val="00B71992"/>
    <w:rsid w:val="00B845C1"/>
    <w:rsid w:val="00B858EC"/>
    <w:rsid w:val="00BC14DB"/>
    <w:rsid w:val="00D221FD"/>
    <w:rsid w:val="00F01608"/>
    <w:rsid w:val="00F2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bainj16</cp:lastModifiedBy>
  <cp:revision>2</cp:revision>
  <dcterms:created xsi:type="dcterms:W3CDTF">2015-08-25T11:17:00Z</dcterms:created>
  <dcterms:modified xsi:type="dcterms:W3CDTF">2015-08-25T11:17:00Z</dcterms:modified>
</cp:coreProperties>
</file>